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JHON ESTUPIÑAN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 COLOMBIANA DE CARNE S.A. - INCOLCAR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Diagonal 49 SUR # 60 - 26</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3174333998</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2021ER30502.</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INDUSTRIA COLOMBIANA DE CARNE S.A. - INCOLCAR S.A identificada con NIT 860021475-5 y cuya sede inscrita fue la ubicada en Diagonal 49 SUR # 60 - 26,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4"/>
              <w:gridCol w:w="2797"/>
              <w:gridCol w:w="2757"/>
              <w:tblGridChange w:id="0">
                <w:tblGrid>
                  <w:gridCol w:w="2714"/>
                  <w:gridCol w:w="2797"/>
                  <w:gridCol w:w="275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 COLOMBIANA DE CARNE S.A. - INCOLCAR 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6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9"/>
              <w:gridCol w:w="1378"/>
              <w:gridCol w:w="4911"/>
              <w:tblGridChange w:id="0">
                <w:tblGrid>
                  <w:gridCol w:w="1979"/>
                  <w:gridCol w:w="1378"/>
                  <w:gridCol w:w="49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Lorena Vargas, </w:t>
                  </w:r>
                  <w:r w:rsidDel="00000000" w:rsidR="00000000" w:rsidRPr="00000000">
                    <w:rPr>
                      <w:rFonts w:ascii="Arial" w:cs="Arial" w:eastAsia="Arial" w:hAnsi="Arial"/>
                      <w:sz w:val="22"/>
                      <w:szCs w:val="22"/>
                      <w:rtl w:val="0"/>
                    </w:rPr>
                    <w:t xml:space="preserve">asistió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 90 %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recomienda priorizar las estrategias de eficiencia energética, inicialmente hacia el gas natural , ya que es el energético de mayor impacto en consumo y costos.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proyecto en la medida de los posible.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Seguir trabajando  las herramientas de caracterización energética, que le permitan  cuantificar  los beneficios ( energéticos,económicos  y ambientales ).</w:t>
                  </w:r>
                </w:p>
              </w:tc>
            </w:tr>
            <w:tr>
              <w:trPr>
                <w:cantSplit w:val="0"/>
                <w:trHeight w:val="139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visita por parte del proveedor y el establecimiento de oportunidades de mejora; se cuenta con indicadores establecidos para la evaluación del proyecto; finalmente, se verifican cumplimientos parciales en las actividades asociadas al cronograma del primer entregable.</w:t>
                  </w:r>
                </w:p>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94</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Buenas prácticas en instalaciones eléctricas de la organización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buenas prácticas en sistemas eléctricos.</w:t>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de un proyecto de buenas prácticas operacionales en </w:t>
            </w:r>
            <w:r w:rsidDel="00000000" w:rsidR="00000000" w:rsidRPr="00000000">
              <w:rPr>
                <w:rFonts w:ascii="Arial" w:cs="Arial" w:eastAsia="Arial" w:hAnsi="Arial"/>
                <w:sz w:val="22"/>
                <w:szCs w:val="22"/>
                <w:rtl w:val="0"/>
              </w:rPr>
              <w:t xml:space="preserve">instalaciones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eléctricas, que le </w:t>
            </w:r>
            <w:r w:rsidDel="00000000" w:rsidR="00000000" w:rsidRPr="00000000">
              <w:rPr>
                <w:rFonts w:ascii="Arial" w:cs="Arial" w:eastAsia="Arial" w:hAnsi="Arial"/>
                <w:sz w:val="22"/>
                <w:szCs w:val="22"/>
                <w:rtl w:val="0"/>
              </w:rPr>
              <w:t xml:space="preserve">permita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reducir </w:t>
            </w:r>
            <w:r w:rsidDel="00000000" w:rsidR="00000000" w:rsidRPr="00000000">
              <w:rPr>
                <w:rFonts w:ascii="Arial" w:cs="Arial" w:eastAsia="Arial" w:hAnsi="Arial"/>
                <w:sz w:val="22"/>
                <w:szCs w:val="22"/>
                <w:rtl w:val="0"/>
              </w:rPr>
              <w:t xml:space="preserve">pérdidas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energéticas. Se recomienda avanzar en la evaluación técnico-financiera y  profundizar en la formulación de los  beneficios energéticos,  económicos y ambientales como indicadores del proyecto cuándo se encuentre en fase de operación.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7">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8L5eLTD3DKg0bYX7q3zxWZPXwA==">AMUW2mV7JMeni66aFX6EnNiiLLUMM9oKBYaD9+krGrbf1mjbblGfOPxLx3dvwaitzPKQB9xw4ZqOism5NVFURKUtXSEJf7r5u8/P9r4+CFvWRJOQjljb4gs=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2021-11-26T14:12:00Z</dcterms:created>
  <dc:creator>Jorge Manrique</dc:creator>
</cp:coreProperties>
</file>